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URMIA TULIP PLUS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- An alternative source of insurance for business partners.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Instructions as of April, 2016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color w:val="4a86e8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Website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</w:r>
      <w:hyperlink r:id="rId5">
        <w:r w:rsidDel="00000000" w:rsidR="00000000" w:rsidRPr="00000000">
          <w:rPr>
            <w:rFonts w:ascii="Helvetica Neue" w:cs="Helvetica Neue" w:eastAsia="Helvetica Neue" w:hAnsi="Helvetica Neue"/>
            <w:color w:val="4a86e8"/>
            <w:u w:val="single"/>
            <w:rtl w:val="0"/>
          </w:rPr>
          <w:t xml:space="preserve">https://tulip.ajgrms.com/</w:t>
        </w:r>
      </w:hyperlink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lick 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Quick Quote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Select State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select Idaho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Select Location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select The University of Idaho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Select Venue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select The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McCall Field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Select Dates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double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click on each day that you will occupy the premises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The dates you have selected will appear to the right of the calendar.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Average daily attendance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enter info in the box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Event Type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: suggested options include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Business Meetings &amp; Show, Conventions - Indoors, Educational Exhibitions, Lectures, Meetings - Indoors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Seminars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system will walk you through the remainder of the questions and when completed will give you a quote.  If you want to purchase the coverage, just continue on through the process.</w:t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tulip.ajgrm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