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6D5B1" w14:textId="53417A50" w:rsidR="00196F41" w:rsidRPr="00196F41" w:rsidRDefault="00196F41" w:rsidP="00384DC2">
      <w:pPr>
        <w:pStyle w:val="Heading1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ME</w:t>
      </w:r>
      <w:r w:rsidR="007D00E8">
        <w:rPr>
          <w:shd w:val="clear" w:color="auto" w:fill="FFFFFF"/>
        </w:rPr>
        <w:t>301 Day 5</w:t>
      </w:r>
      <w:r>
        <w:rPr>
          <w:shd w:val="clear" w:color="auto" w:fill="FFFFFF"/>
        </w:rPr>
        <w:t xml:space="preserve"> Technical Writing Worksheet</w:t>
      </w:r>
    </w:p>
    <w:p w14:paraId="2D3AD4EA" w14:textId="7B27E98A" w:rsidR="00196F41" w:rsidRPr="00384DC2" w:rsidRDefault="00196F41" w:rsidP="00384DC2">
      <w:pPr>
        <w:pStyle w:val="ListParagraph"/>
        <w:numPr>
          <w:ilvl w:val="0"/>
          <w:numId w:val="5"/>
        </w:numPr>
        <w:spacing w:line="360" w:lineRule="auto"/>
        <w:rPr>
          <w:b/>
          <w:bCs/>
          <w:shd w:val="clear" w:color="auto" w:fill="FFFFFF"/>
        </w:rPr>
      </w:pPr>
      <w:r w:rsidRPr="00384DC2">
        <w:rPr>
          <w:b/>
          <w:bCs/>
          <w:shd w:val="clear" w:color="auto" w:fill="FFFFFF"/>
        </w:rPr>
        <w:t>Practice with Verb Tense</w:t>
      </w:r>
      <w:r w:rsidR="006258A5" w:rsidRPr="00384DC2">
        <w:rPr>
          <w:b/>
          <w:bCs/>
          <w:shd w:val="clear" w:color="auto" w:fill="FFFFFF"/>
        </w:rPr>
        <w:t xml:space="preserve"> in a Design Paper</w:t>
      </w:r>
      <w:r w:rsidR="005D719E" w:rsidRPr="00384DC2">
        <w:rPr>
          <w:b/>
          <w:bCs/>
          <w:shd w:val="clear" w:color="auto" w:fill="FFFFFF"/>
        </w:rPr>
        <w:t xml:space="preserve"> </w:t>
      </w:r>
      <w:r w:rsidR="005D719E" w:rsidRPr="00384DC2">
        <w:rPr>
          <w:b/>
          <w:bCs/>
          <w:i/>
          <w:iCs/>
          <w:shd w:val="clear" w:color="auto" w:fill="FFFFFF"/>
        </w:rPr>
        <w:t>(</w:t>
      </w:r>
      <w:r w:rsidR="00DF58F0">
        <w:rPr>
          <w:b/>
          <w:bCs/>
          <w:i/>
          <w:iCs/>
          <w:shd w:val="clear" w:color="auto" w:fill="FFFFFF"/>
        </w:rPr>
        <w:t>circle or highlight</w:t>
      </w:r>
      <w:r w:rsidR="00114D1F">
        <w:rPr>
          <w:b/>
          <w:bCs/>
          <w:i/>
          <w:iCs/>
          <w:shd w:val="clear" w:color="auto" w:fill="FFFFFF"/>
        </w:rPr>
        <w:t xml:space="preserve"> </w:t>
      </w:r>
      <w:r w:rsidR="005D719E" w:rsidRPr="00384DC2">
        <w:rPr>
          <w:b/>
          <w:bCs/>
          <w:i/>
          <w:iCs/>
          <w:shd w:val="clear" w:color="auto" w:fill="FFFFFF"/>
        </w:rPr>
        <w:t xml:space="preserve">the </w:t>
      </w:r>
      <w:r w:rsidR="006D7DE5" w:rsidRPr="00384DC2">
        <w:rPr>
          <w:b/>
          <w:bCs/>
          <w:i/>
          <w:iCs/>
          <w:shd w:val="clear" w:color="auto" w:fill="FFFFFF"/>
        </w:rPr>
        <w:t xml:space="preserve">most appropriate </w:t>
      </w:r>
      <w:r w:rsidR="00DB1558">
        <w:rPr>
          <w:b/>
          <w:bCs/>
          <w:i/>
          <w:iCs/>
          <w:shd w:val="clear" w:color="auto" w:fill="FFFFFF"/>
        </w:rPr>
        <w:t xml:space="preserve">of </w:t>
      </w:r>
      <w:r w:rsidR="00CF5D71">
        <w:rPr>
          <w:b/>
          <w:bCs/>
          <w:i/>
          <w:iCs/>
          <w:shd w:val="clear" w:color="auto" w:fill="FFFFFF"/>
        </w:rPr>
        <w:t xml:space="preserve">each underlined pair of </w:t>
      </w:r>
      <w:r w:rsidR="00913E54" w:rsidRPr="00384DC2">
        <w:rPr>
          <w:b/>
          <w:bCs/>
          <w:i/>
          <w:iCs/>
          <w:shd w:val="clear" w:color="auto" w:fill="FFFFFF"/>
        </w:rPr>
        <w:t>tense</w:t>
      </w:r>
      <w:r w:rsidR="00CF5D71">
        <w:rPr>
          <w:b/>
          <w:bCs/>
          <w:i/>
          <w:iCs/>
          <w:shd w:val="clear" w:color="auto" w:fill="FFFFFF"/>
        </w:rPr>
        <w:t>s</w:t>
      </w:r>
      <w:r w:rsidR="003A640C">
        <w:rPr>
          <w:b/>
          <w:bCs/>
          <w:i/>
          <w:iCs/>
          <w:shd w:val="clear" w:color="auto" w:fill="FFFFFF"/>
        </w:rPr>
        <w:t xml:space="preserve"> –</w:t>
      </w:r>
      <w:r w:rsidR="0035206C">
        <w:rPr>
          <w:b/>
          <w:bCs/>
          <w:i/>
          <w:iCs/>
          <w:shd w:val="clear" w:color="auto" w:fill="FFFFFF"/>
        </w:rPr>
        <w:t xml:space="preserve"> i.e.,</w:t>
      </w:r>
      <w:r w:rsidR="003A640C">
        <w:rPr>
          <w:b/>
          <w:bCs/>
          <w:i/>
          <w:iCs/>
          <w:shd w:val="clear" w:color="auto" w:fill="FFFFFF"/>
        </w:rPr>
        <w:t xml:space="preserve"> is “are” or “were” the best choice for 1.1?</w:t>
      </w:r>
      <w:r w:rsidR="00913E54" w:rsidRPr="00384DC2">
        <w:rPr>
          <w:b/>
          <w:bCs/>
          <w:i/>
          <w:iCs/>
          <w:shd w:val="clear" w:color="auto" w:fill="FFFFFF"/>
        </w:rPr>
        <w:t>)</w:t>
      </w:r>
    </w:p>
    <w:p w14:paraId="16696DC8" w14:textId="44D304DC" w:rsidR="006258A5" w:rsidRDefault="00196F41" w:rsidP="00384DC2">
      <w:pPr>
        <w:pStyle w:val="ListParagraph"/>
        <w:numPr>
          <w:ilvl w:val="1"/>
          <w:numId w:val="5"/>
        </w:numPr>
        <w:spacing w:line="360" w:lineRule="auto"/>
      </w:pPr>
      <w:r>
        <w:t xml:space="preserve">Most tasks </w:t>
      </w:r>
      <w:r w:rsidR="006258A5" w:rsidRPr="003A7F55">
        <w:rPr>
          <w:b/>
          <w:u w:val="single"/>
        </w:rPr>
        <w:t>are/were</w:t>
      </w:r>
      <w:r w:rsidR="006258A5">
        <w:t xml:space="preserve"> </w:t>
      </w:r>
      <w:r>
        <w:t xml:space="preserve">performed while seated at a desk with target locations for pick and place reaching tasks labeled on the desk and shelf. </w:t>
      </w:r>
    </w:p>
    <w:p w14:paraId="52C863F2" w14:textId="6ADE8E77" w:rsidR="00196F41" w:rsidRDefault="00196F41" w:rsidP="00384DC2">
      <w:pPr>
        <w:pStyle w:val="ListParagraph"/>
        <w:numPr>
          <w:ilvl w:val="1"/>
          <w:numId w:val="5"/>
        </w:numPr>
        <w:spacing w:line="360" w:lineRule="auto"/>
      </w:pPr>
      <w:r>
        <w:t>The data</w:t>
      </w:r>
      <w:r w:rsidRPr="00D64AB9">
        <w:t xml:space="preserve">set </w:t>
      </w:r>
      <w:r w:rsidR="006258A5" w:rsidRPr="003A7F55">
        <w:rPr>
          <w:b/>
          <w:u w:val="single"/>
        </w:rPr>
        <w:t>is/was</w:t>
      </w:r>
      <w:r>
        <w:t xml:space="preserve"> </w:t>
      </w:r>
      <w:r w:rsidRPr="00D64AB9">
        <w:t xml:space="preserve">collected using a 12-camera VICON motion capture system that </w:t>
      </w:r>
      <w:r w:rsidRPr="003A7F55">
        <w:rPr>
          <w:b/>
          <w:u w:val="single"/>
        </w:rPr>
        <w:t>track</w:t>
      </w:r>
      <w:r w:rsidR="006258A5" w:rsidRPr="003A7F55">
        <w:rPr>
          <w:b/>
          <w:u w:val="single"/>
        </w:rPr>
        <w:t>s/tracked</w:t>
      </w:r>
      <w:r w:rsidRPr="00D64AB9">
        <w:t xml:space="preserve"> the Cartesian locations of</w:t>
      </w:r>
      <w:r>
        <w:t xml:space="preserve"> seven</w:t>
      </w:r>
      <w:r w:rsidRPr="00D64AB9">
        <w:t xml:space="preserve"> markers on a subject at a rate of 120 Hz</w:t>
      </w:r>
      <w:r>
        <w:t xml:space="preserve">. </w:t>
      </w:r>
    </w:p>
    <w:p w14:paraId="40A94EA9" w14:textId="417239A9" w:rsidR="00710DB0" w:rsidRDefault="00196F41" w:rsidP="00384DC2">
      <w:pPr>
        <w:pStyle w:val="ListParagraph"/>
        <w:numPr>
          <w:ilvl w:val="1"/>
          <w:numId w:val="5"/>
        </w:numPr>
        <w:spacing w:line="360" w:lineRule="auto"/>
      </w:pPr>
      <w:r w:rsidRPr="00D64AB9">
        <w:t xml:space="preserve">The kinematic motions for 24 ADLs </w:t>
      </w:r>
      <w:r w:rsidR="006258A5" w:rsidRPr="003A7F55">
        <w:rPr>
          <w:b/>
          <w:u w:val="single"/>
        </w:rPr>
        <w:t>are/were</w:t>
      </w:r>
      <w:r w:rsidR="006258A5">
        <w:t xml:space="preserve"> </w:t>
      </w:r>
      <w:r w:rsidRPr="00D64AB9">
        <w:t>captured for six subjects whose age</w:t>
      </w:r>
      <w:r w:rsidR="006258A5">
        <w:t>s</w:t>
      </w:r>
      <w:r w:rsidRPr="00D64AB9">
        <w:t xml:space="preserve"> </w:t>
      </w:r>
    </w:p>
    <w:p w14:paraId="2C63D132" w14:textId="042E1EE5" w:rsidR="006258A5" w:rsidRDefault="00196F41" w:rsidP="00710DB0">
      <w:pPr>
        <w:pStyle w:val="ListParagraph"/>
        <w:spacing w:line="360" w:lineRule="auto"/>
        <w:ind w:left="792"/>
      </w:pPr>
      <w:r w:rsidRPr="003A7F55">
        <w:rPr>
          <w:b/>
          <w:u w:val="single"/>
        </w:rPr>
        <w:t>range</w:t>
      </w:r>
      <w:r w:rsidR="006258A5" w:rsidRPr="003A7F55">
        <w:rPr>
          <w:b/>
          <w:u w:val="single"/>
        </w:rPr>
        <w:t>/range</w:t>
      </w:r>
      <w:r w:rsidRPr="003A7F55">
        <w:rPr>
          <w:b/>
          <w:u w:val="single"/>
        </w:rPr>
        <w:t>d</w:t>
      </w:r>
      <w:r w:rsidRPr="00D64AB9">
        <w:t xml:space="preserve"> from 20 to 41 years</w:t>
      </w:r>
      <w:r>
        <w:t>.</w:t>
      </w:r>
    </w:p>
    <w:p w14:paraId="06BFC7EE" w14:textId="52A5192B" w:rsidR="00196F41" w:rsidRDefault="00196F41" w:rsidP="00384DC2">
      <w:pPr>
        <w:pStyle w:val="ListParagraph"/>
        <w:numPr>
          <w:ilvl w:val="1"/>
          <w:numId w:val="5"/>
        </w:numPr>
        <w:spacing w:line="360" w:lineRule="auto"/>
      </w:pPr>
      <w:r>
        <w:t xml:space="preserve">The main objective of the prototype </w:t>
      </w:r>
      <w:r w:rsidR="006258A5" w:rsidRPr="003A7F55">
        <w:rPr>
          <w:b/>
          <w:u w:val="single"/>
        </w:rPr>
        <w:t>is/was</w:t>
      </w:r>
      <w:r w:rsidR="006258A5">
        <w:t xml:space="preserve"> </w:t>
      </w:r>
      <w:r>
        <w:t>to validate the potential for the desired 2-DOF mobility.</w:t>
      </w:r>
    </w:p>
    <w:p w14:paraId="676304CE" w14:textId="0998F0DC" w:rsidR="006258A5" w:rsidRDefault="006258A5" w:rsidP="00384DC2">
      <w:pPr>
        <w:pStyle w:val="ListParagraph"/>
        <w:numPr>
          <w:ilvl w:val="1"/>
          <w:numId w:val="5"/>
        </w:numPr>
        <w:spacing w:line="360" w:lineRule="auto"/>
      </w:pPr>
      <w:r>
        <w:t xml:space="preserve">In the final assembly, the parallel dual four-bar mechanism </w:t>
      </w:r>
      <w:r w:rsidRPr="003A7F55">
        <w:rPr>
          <w:b/>
          <w:u w:val="single"/>
        </w:rPr>
        <w:t>is/was</w:t>
      </w:r>
      <w:r>
        <w:t xml:space="preserve"> composed of two parallel endplates separated by the 4 clavicular links</w:t>
      </w:r>
      <w:r w:rsidR="002914EC">
        <w:t>.</w:t>
      </w:r>
      <w:r>
        <w:t xml:space="preserve"> </w:t>
      </w:r>
    </w:p>
    <w:p w14:paraId="54C2C9F8" w14:textId="5B3BC5CA" w:rsidR="00196F41" w:rsidRDefault="009019C6" w:rsidP="00384DC2">
      <w:pPr>
        <w:pStyle w:val="ListParagraph"/>
        <w:numPr>
          <w:ilvl w:val="0"/>
          <w:numId w:val="5"/>
        </w:numPr>
        <w:spacing w:line="360" w:lineRule="auto"/>
      </w:pPr>
      <w:r w:rsidRPr="00384DC2">
        <w:rPr>
          <w:b/>
          <w:bCs/>
        </w:rPr>
        <w:t xml:space="preserve">Identifying </w:t>
      </w:r>
      <w:r w:rsidR="00C84903" w:rsidRPr="00384DC2">
        <w:rPr>
          <w:b/>
          <w:bCs/>
        </w:rPr>
        <w:t xml:space="preserve">Unneeded </w:t>
      </w:r>
      <w:r w:rsidR="00196F41" w:rsidRPr="00384DC2">
        <w:rPr>
          <w:b/>
          <w:bCs/>
        </w:rPr>
        <w:t>“Feeling” Words</w:t>
      </w:r>
      <w:r w:rsidR="00C84903" w:rsidRPr="00384DC2">
        <w:rPr>
          <w:b/>
          <w:bCs/>
        </w:rPr>
        <w:t xml:space="preserve"> and Justifications</w:t>
      </w:r>
      <w:r w:rsidR="003E0077" w:rsidRPr="00384DC2">
        <w:rPr>
          <w:b/>
          <w:bCs/>
        </w:rPr>
        <w:t xml:space="preserve"> </w:t>
      </w:r>
      <w:r w:rsidR="003E0077" w:rsidRPr="00384DC2">
        <w:rPr>
          <w:b/>
          <w:bCs/>
          <w:i/>
          <w:iCs/>
          <w:shd w:val="clear" w:color="auto" w:fill="FFFFFF"/>
        </w:rPr>
        <w:t>(circle</w:t>
      </w:r>
      <w:r w:rsidR="00B552D3">
        <w:rPr>
          <w:b/>
          <w:bCs/>
          <w:i/>
          <w:iCs/>
          <w:shd w:val="clear" w:color="auto" w:fill="FFFFFF"/>
        </w:rPr>
        <w:t xml:space="preserve"> or highlight</w:t>
      </w:r>
      <w:r w:rsidR="003E0077" w:rsidRPr="00384DC2">
        <w:rPr>
          <w:b/>
          <w:bCs/>
          <w:i/>
          <w:iCs/>
          <w:shd w:val="clear" w:color="auto" w:fill="FFFFFF"/>
        </w:rPr>
        <w:t xml:space="preserve"> all “feeling” words</w:t>
      </w:r>
      <w:r w:rsidR="00B552D3">
        <w:rPr>
          <w:b/>
          <w:bCs/>
          <w:i/>
          <w:iCs/>
          <w:shd w:val="clear" w:color="auto" w:fill="FFFFFF"/>
        </w:rPr>
        <w:t>/</w:t>
      </w:r>
      <w:r w:rsidR="00195887" w:rsidRPr="00384DC2">
        <w:rPr>
          <w:b/>
          <w:bCs/>
          <w:i/>
          <w:iCs/>
          <w:shd w:val="clear" w:color="auto" w:fill="FFFFFF"/>
        </w:rPr>
        <w:t>phrases</w:t>
      </w:r>
      <w:r w:rsidR="003E0077" w:rsidRPr="00384DC2">
        <w:rPr>
          <w:b/>
          <w:bCs/>
          <w:i/>
          <w:iCs/>
          <w:shd w:val="clear" w:color="auto" w:fill="FFFFFF"/>
        </w:rPr>
        <w:t xml:space="preserve"> in the sentences</w:t>
      </w:r>
      <w:r w:rsidR="00E6753D" w:rsidRPr="00384DC2">
        <w:rPr>
          <w:b/>
          <w:bCs/>
          <w:i/>
          <w:iCs/>
          <w:shd w:val="clear" w:color="auto" w:fill="FFFFFF"/>
        </w:rPr>
        <w:t>, underline</w:t>
      </w:r>
      <w:r w:rsidR="002A007D" w:rsidRPr="00384DC2">
        <w:rPr>
          <w:b/>
          <w:bCs/>
          <w:i/>
          <w:iCs/>
          <w:shd w:val="clear" w:color="auto" w:fill="FFFFFF"/>
        </w:rPr>
        <w:t xml:space="preserve"> any unne</w:t>
      </w:r>
      <w:r w:rsidR="00063A01" w:rsidRPr="00384DC2">
        <w:rPr>
          <w:b/>
          <w:bCs/>
          <w:i/>
          <w:iCs/>
          <w:shd w:val="clear" w:color="auto" w:fill="FFFFFF"/>
        </w:rPr>
        <w:t>e</w:t>
      </w:r>
      <w:r w:rsidR="002A007D" w:rsidRPr="00384DC2">
        <w:rPr>
          <w:b/>
          <w:bCs/>
          <w:i/>
          <w:iCs/>
          <w:shd w:val="clear" w:color="auto" w:fill="FFFFFF"/>
        </w:rPr>
        <w:t>ded</w:t>
      </w:r>
      <w:r w:rsidR="00E6753D" w:rsidRPr="00384DC2">
        <w:rPr>
          <w:b/>
          <w:bCs/>
          <w:i/>
          <w:iCs/>
          <w:shd w:val="clear" w:color="auto" w:fill="FFFFFF"/>
        </w:rPr>
        <w:t xml:space="preserve"> justifications</w:t>
      </w:r>
      <w:r w:rsidR="003E0077" w:rsidRPr="00384DC2">
        <w:rPr>
          <w:b/>
          <w:bCs/>
          <w:i/>
          <w:iCs/>
          <w:shd w:val="clear" w:color="auto" w:fill="FFFFFF"/>
        </w:rPr>
        <w:t>)</w:t>
      </w:r>
    </w:p>
    <w:p w14:paraId="03AE9999" w14:textId="3C8709B2" w:rsidR="009019C6" w:rsidRDefault="009019C6" w:rsidP="00384DC2">
      <w:pPr>
        <w:pStyle w:val="ListParagraph"/>
        <w:numPr>
          <w:ilvl w:val="1"/>
          <w:numId w:val="5"/>
        </w:numPr>
        <w:spacing w:line="360" w:lineRule="auto"/>
      </w:pPr>
      <w:r>
        <w:t>There didn’t seem to be any significant differences between the trials, and therefore we decided it was appropriate to include all six subjects in the shoulder displacement analysis.</w:t>
      </w:r>
    </w:p>
    <w:p w14:paraId="238BB986" w14:textId="050D82BE" w:rsidR="009019C6" w:rsidRDefault="009019C6" w:rsidP="00384DC2">
      <w:pPr>
        <w:pStyle w:val="ListParagraph"/>
        <w:numPr>
          <w:ilvl w:val="1"/>
          <w:numId w:val="5"/>
        </w:numPr>
        <w:spacing w:line="360" w:lineRule="auto"/>
      </w:pPr>
      <w:r>
        <w:t xml:space="preserve">Since our goal is to maximize training outcome, we want the subjects to remain motivated and </w:t>
      </w:r>
      <w:r w:rsidR="008D2ED0">
        <w:t xml:space="preserve">challenged. </w:t>
      </w:r>
    </w:p>
    <w:p w14:paraId="62F1EDF7" w14:textId="36DB6D88" w:rsidR="000F3EE3" w:rsidRDefault="00CB3D8C" w:rsidP="00384DC2">
      <w:pPr>
        <w:pStyle w:val="ListParagraph"/>
        <w:numPr>
          <w:ilvl w:val="1"/>
          <w:numId w:val="5"/>
        </w:numPr>
        <w:spacing w:line="360" w:lineRule="auto"/>
      </w:pPr>
      <w:r>
        <w:t>Rewrite 2.</w:t>
      </w:r>
      <w:r w:rsidR="00EF70A3">
        <w:t>2</w:t>
      </w:r>
      <w:r w:rsidR="00160687">
        <w:t xml:space="preserve"> </w:t>
      </w:r>
      <w:r w:rsidR="00023E23">
        <w:t>in a more concise form without the use of feeling words or justifications:</w:t>
      </w:r>
    </w:p>
    <w:p w14:paraId="5E4B3B34" w14:textId="3E60F650" w:rsidR="00023E23" w:rsidRDefault="00023E23" w:rsidP="00384DC2">
      <w:pPr>
        <w:pStyle w:val="ListParagraph"/>
        <w:spacing w:line="360" w:lineRule="auto"/>
        <w:ind w:left="792"/>
      </w:pPr>
      <w:r>
        <w:t>____________________________________________________________________________________________________________________________________________________________</w:t>
      </w:r>
    </w:p>
    <w:p w14:paraId="6B66601D" w14:textId="5E429D9A" w:rsidR="000B284D" w:rsidRDefault="000B284D" w:rsidP="00384DC2">
      <w:pPr>
        <w:pStyle w:val="ListParagraph"/>
        <w:spacing w:line="360" w:lineRule="auto"/>
        <w:ind w:left="792"/>
      </w:pPr>
      <w:r>
        <w:t>______________________________________________________________________________</w:t>
      </w:r>
    </w:p>
    <w:p w14:paraId="60421976" w14:textId="338C0071" w:rsidR="009019C6" w:rsidRPr="00384DC2" w:rsidRDefault="009019C6" w:rsidP="00384DC2">
      <w:pPr>
        <w:pStyle w:val="ListParagraph"/>
        <w:numPr>
          <w:ilvl w:val="0"/>
          <w:numId w:val="5"/>
        </w:numPr>
        <w:spacing w:line="360" w:lineRule="auto"/>
        <w:rPr>
          <w:b/>
          <w:bCs/>
        </w:rPr>
      </w:pPr>
      <w:r w:rsidRPr="00384DC2">
        <w:rPr>
          <w:b/>
          <w:bCs/>
        </w:rPr>
        <w:t>Eliminating 1</w:t>
      </w:r>
      <w:r w:rsidRPr="00384DC2">
        <w:rPr>
          <w:b/>
          <w:bCs/>
          <w:vertAlign w:val="superscript"/>
        </w:rPr>
        <w:t>st</w:t>
      </w:r>
      <w:r w:rsidRPr="00384DC2">
        <w:rPr>
          <w:b/>
          <w:bCs/>
        </w:rPr>
        <w:t xml:space="preserve"> Person where Unneeded</w:t>
      </w:r>
      <w:r w:rsidR="00237D1D" w:rsidRPr="00384DC2">
        <w:rPr>
          <w:b/>
          <w:bCs/>
        </w:rPr>
        <w:t xml:space="preserve"> </w:t>
      </w:r>
      <w:r w:rsidR="00237D1D" w:rsidRPr="00384DC2">
        <w:rPr>
          <w:b/>
          <w:bCs/>
          <w:i/>
          <w:iCs/>
        </w:rPr>
        <w:t>(</w:t>
      </w:r>
      <w:r w:rsidR="00F178BA" w:rsidRPr="00384DC2">
        <w:rPr>
          <w:b/>
          <w:bCs/>
          <w:i/>
          <w:iCs/>
        </w:rPr>
        <w:t>circle</w:t>
      </w:r>
      <w:r w:rsidR="007757C4">
        <w:rPr>
          <w:b/>
          <w:bCs/>
          <w:i/>
          <w:iCs/>
        </w:rPr>
        <w:t xml:space="preserve"> or highlight</w:t>
      </w:r>
      <w:r w:rsidR="00F178BA" w:rsidRPr="00384DC2">
        <w:rPr>
          <w:b/>
          <w:bCs/>
          <w:i/>
          <w:iCs/>
        </w:rPr>
        <w:t xml:space="preserve"> </w:t>
      </w:r>
      <w:r w:rsidR="00FD032A" w:rsidRPr="00384DC2">
        <w:rPr>
          <w:b/>
          <w:bCs/>
          <w:i/>
          <w:iCs/>
        </w:rPr>
        <w:t xml:space="preserve">any </w:t>
      </w:r>
      <w:r w:rsidR="004430E4" w:rsidRPr="00384DC2">
        <w:rPr>
          <w:b/>
          <w:bCs/>
          <w:i/>
          <w:iCs/>
        </w:rPr>
        <w:t>1</w:t>
      </w:r>
      <w:r w:rsidR="004430E4" w:rsidRPr="00384DC2">
        <w:rPr>
          <w:b/>
          <w:bCs/>
          <w:i/>
          <w:iCs/>
          <w:vertAlign w:val="superscript"/>
        </w:rPr>
        <w:t>st</w:t>
      </w:r>
      <w:r w:rsidR="004430E4" w:rsidRPr="00384DC2">
        <w:rPr>
          <w:b/>
          <w:bCs/>
          <w:i/>
          <w:iCs/>
        </w:rPr>
        <w:t xml:space="preserve"> person text that </w:t>
      </w:r>
      <w:r w:rsidR="00C3495E" w:rsidRPr="00384DC2">
        <w:rPr>
          <w:b/>
          <w:bCs/>
          <w:i/>
          <w:iCs/>
        </w:rPr>
        <w:t xml:space="preserve">should be </w:t>
      </w:r>
      <w:r w:rsidR="008D1417" w:rsidRPr="00384DC2">
        <w:rPr>
          <w:b/>
          <w:bCs/>
          <w:i/>
          <w:iCs/>
        </w:rPr>
        <w:t>removed</w:t>
      </w:r>
      <w:r w:rsidR="00237D1D" w:rsidRPr="00384DC2">
        <w:rPr>
          <w:b/>
          <w:bCs/>
          <w:i/>
          <w:iCs/>
        </w:rPr>
        <w:t>)</w:t>
      </w:r>
    </w:p>
    <w:p w14:paraId="7E9B3509" w14:textId="0BC0715B" w:rsidR="009019C6" w:rsidRDefault="009019C6" w:rsidP="00384DC2">
      <w:pPr>
        <w:pStyle w:val="ListParagraph"/>
        <w:numPr>
          <w:ilvl w:val="1"/>
          <w:numId w:val="5"/>
        </w:numPr>
        <w:spacing w:line="360" w:lineRule="auto"/>
      </w:pPr>
      <w:r>
        <w:t xml:space="preserve">We didn’t see any significant differences as a result of subject stature, and </w:t>
      </w:r>
      <w:r w:rsidR="00890BDC">
        <w:t>as a result</w:t>
      </w:r>
      <w:r>
        <w:t xml:space="preserve"> we decided to include all six subjects in the shoulder displacement analysis.</w:t>
      </w:r>
    </w:p>
    <w:p w14:paraId="44E61CB0" w14:textId="7212F765" w:rsidR="009019C6" w:rsidRDefault="008D2ED0" w:rsidP="00384DC2">
      <w:pPr>
        <w:pStyle w:val="ListParagraph"/>
        <w:numPr>
          <w:ilvl w:val="1"/>
          <w:numId w:val="5"/>
        </w:numPr>
        <w:spacing w:line="360" w:lineRule="auto"/>
      </w:pPr>
      <w:r>
        <w:t xml:space="preserve">During the final trial, we asked the subjects to close their eyes and relax. </w:t>
      </w:r>
    </w:p>
    <w:p w14:paraId="79F9387C" w14:textId="5549D017" w:rsidR="0060364C" w:rsidRDefault="0060364C" w:rsidP="00851255">
      <w:pPr>
        <w:pStyle w:val="ListParagraph"/>
        <w:keepNext/>
        <w:numPr>
          <w:ilvl w:val="1"/>
          <w:numId w:val="5"/>
        </w:numPr>
        <w:spacing w:line="360" w:lineRule="auto"/>
      </w:pPr>
      <w:r>
        <w:t xml:space="preserve">Rewrite 3.1 in a more concise form without the use of </w:t>
      </w:r>
      <w:r w:rsidR="009B21D7">
        <w:t>1</w:t>
      </w:r>
      <w:r w:rsidR="009B21D7" w:rsidRPr="009B21D7">
        <w:rPr>
          <w:vertAlign w:val="superscript"/>
        </w:rPr>
        <w:t>st</w:t>
      </w:r>
      <w:r w:rsidR="009B21D7">
        <w:t xml:space="preserve"> person text</w:t>
      </w:r>
      <w:r>
        <w:t>:</w:t>
      </w:r>
    </w:p>
    <w:p w14:paraId="68F8DE69" w14:textId="77777777" w:rsidR="0060364C" w:rsidRDefault="0060364C" w:rsidP="00384DC2">
      <w:pPr>
        <w:pStyle w:val="ListParagraph"/>
        <w:spacing w:line="360" w:lineRule="auto"/>
        <w:ind w:left="792"/>
      </w:pPr>
      <w:r>
        <w:t>____________________________________________________________________________________________________________________________________________________________</w:t>
      </w:r>
    </w:p>
    <w:p w14:paraId="2E3D1FC9" w14:textId="773F7A17" w:rsidR="0060364C" w:rsidRDefault="00237D1D" w:rsidP="00384DC2">
      <w:pPr>
        <w:pStyle w:val="ListParagraph"/>
        <w:spacing w:line="360" w:lineRule="auto"/>
        <w:ind w:left="792"/>
      </w:pPr>
      <w:r>
        <w:lastRenderedPageBreak/>
        <w:t>______________________________________________________________________________</w:t>
      </w:r>
    </w:p>
    <w:p w14:paraId="559993A0" w14:textId="00151600" w:rsidR="00196F41" w:rsidRPr="00384DC2" w:rsidRDefault="00196F41" w:rsidP="00384DC2">
      <w:pPr>
        <w:pStyle w:val="ListParagraph"/>
        <w:numPr>
          <w:ilvl w:val="0"/>
          <w:numId w:val="5"/>
        </w:numPr>
        <w:spacing w:line="360" w:lineRule="auto"/>
        <w:rPr>
          <w:b/>
          <w:bCs/>
        </w:rPr>
      </w:pPr>
      <w:r w:rsidRPr="00384DC2">
        <w:rPr>
          <w:b/>
          <w:bCs/>
        </w:rPr>
        <w:t>Spotting Narration</w:t>
      </w:r>
      <w:r w:rsidR="005558BD" w:rsidRPr="00384DC2">
        <w:rPr>
          <w:b/>
          <w:bCs/>
        </w:rPr>
        <w:t xml:space="preserve"> </w:t>
      </w:r>
      <w:r w:rsidR="005558BD" w:rsidRPr="00384DC2">
        <w:rPr>
          <w:b/>
          <w:bCs/>
          <w:i/>
          <w:iCs/>
        </w:rPr>
        <w:t>(</w:t>
      </w:r>
      <w:r w:rsidR="0062451B" w:rsidRPr="00384DC2">
        <w:rPr>
          <w:b/>
          <w:bCs/>
          <w:i/>
          <w:iCs/>
        </w:rPr>
        <w:t>circle</w:t>
      </w:r>
      <w:r w:rsidR="007757C4">
        <w:rPr>
          <w:b/>
          <w:bCs/>
          <w:i/>
          <w:iCs/>
        </w:rPr>
        <w:t xml:space="preserve"> or highlight</w:t>
      </w:r>
      <w:r w:rsidR="0062451B" w:rsidRPr="00384DC2">
        <w:rPr>
          <w:b/>
          <w:bCs/>
          <w:i/>
          <w:iCs/>
        </w:rPr>
        <w:t xml:space="preserve"> </w:t>
      </w:r>
      <w:r w:rsidR="00B21A80" w:rsidRPr="00384DC2">
        <w:rPr>
          <w:b/>
          <w:bCs/>
          <w:i/>
          <w:iCs/>
        </w:rPr>
        <w:t xml:space="preserve">all </w:t>
      </w:r>
      <w:r w:rsidR="0062451B" w:rsidRPr="00384DC2">
        <w:rPr>
          <w:b/>
          <w:bCs/>
          <w:i/>
          <w:iCs/>
        </w:rPr>
        <w:t>words</w:t>
      </w:r>
      <w:r w:rsidR="005B3F6D" w:rsidRPr="00384DC2">
        <w:rPr>
          <w:b/>
          <w:bCs/>
          <w:i/>
          <w:iCs/>
        </w:rPr>
        <w:t xml:space="preserve"> or </w:t>
      </w:r>
      <w:r w:rsidR="0062451B" w:rsidRPr="00384DC2">
        <w:rPr>
          <w:b/>
          <w:bCs/>
          <w:i/>
          <w:iCs/>
        </w:rPr>
        <w:t xml:space="preserve">phrases that </w:t>
      </w:r>
      <w:r w:rsidR="005959BF" w:rsidRPr="00384DC2">
        <w:rPr>
          <w:b/>
          <w:bCs/>
          <w:i/>
          <w:iCs/>
        </w:rPr>
        <w:t xml:space="preserve">narrate </w:t>
      </w:r>
      <w:r w:rsidR="004F596D" w:rsidRPr="00384DC2">
        <w:rPr>
          <w:b/>
          <w:bCs/>
          <w:i/>
          <w:iCs/>
        </w:rPr>
        <w:t>rather than</w:t>
      </w:r>
      <w:r w:rsidR="00E37A82">
        <w:rPr>
          <w:b/>
          <w:bCs/>
          <w:i/>
          <w:iCs/>
        </w:rPr>
        <w:t xml:space="preserve"> just</w:t>
      </w:r>
      <w:r w:rsidR="004F596D" w:rsidRPr="00384DC2">
        <w:rPr>
          <w:b/>
          <w:bCs/>
          <w:i/>
          <w:iCs/>
        </w:rPr>
        <w:t xml:space="preserve"> present the work)</w:t>
      </w:r>
    </w:p>
    <w:p w14:paraId="2137B364" w14:textId="77777777" w:rsidR="004154F2" w:rsidRDefault="008D2ED0" w:rsidP="00384DC2">
      <w:pPr>
        <w:pStyle w:val="ListParagraph"/>
        <w:numPr>
          <w:ilvl w:val="1"/>
          <w:numId w:val="5"/>
        </w:numPr>
        <w:spacing w:line="360" w:lineRule="auto"/>
      </w:pPr>
      <w:r>
        <w:t xml:space="preserve">First, we </w:t>
      </w:r>
      <w:r w:rsidR="00842F3D">
        <w:t>developed the prototype from</w:t>
      </w:r>
      <w:r>
        <w:t xml:space="preserve"> aluminum 6061-T6 for its high strength to weight ratio. </w:t>
      </w:r>
    </w:p>
    <w:p w14:paraId="783972F6" w14:textId="5B8031A7" w:rsidR="008D2ED0" w:rsidRDefault="008D2ED0" w:rsidP="00384DC2">
      <w:pPr>
        <w:pStyle w:val="ListParagraph"/>
        <w:numPr>
          <w:ilvl w:val="1"/>
          <w:numId w:val="5"/>
        </w:numPr>
        <w:spacing w:line="360" w:lineRule="auto"/>
      </w:pPr>
      <w:r>
        <w:t xml:space="preserve">Later we also </w:t>
      </w:r>
      <w:r w:rsidR="00311428">
        <w:t>developed</w:t>
      </w:r>
      <w:r>
        <w:t xml:space="preserve"> </w:t>
      </w:r>
      <w:r w:rsidR="00513456">
        <w:t>t</w:t>
      </w:r>
      <w:r>
        <w:t xml:space="preserve">he same prototype made of </w:t>
      </w:r>
      <w:r w:rsidR="00D12DF7">
        <w:t xml:space="preserve">301 stainless steel and </w:t>
      </w:r>
      <w:r w:rsidR="006048A4">
        <w:t>PLA plastic.</w:t>
      </w:r>
      <w:r>
        <w:t xml:space="preserve"> </w:t>
      </w:r>
    </w:p>
    <w:p w14:paraId="3398EBE5" w14:textId="1D8EB819" w:rsidR="0047495D" w:rsidRDefault="00453D24" w:rsidP="00384DC2">
      <w:pPr>
        <w:pStyle w:val="ListParagraph"/>
        <w:numPr>
          <w:ilvl w:val="1"/>
          <w:numId w:val="5"/>
        </w:numPr>
        <w:spacing w:line="360" w:lineRule="auto"/>
      </w:pPr>
      <w:r>
        <w:t xml:space="preserve">Next, </w:t>
      </w:r>
      <w:r w:rsidR="004154F2">
        <w:t xml:space="preserve">we </w:t>
      </w:r>
      <w:r w:rsidR="00311428">
        <w:t>evaluated</w:t>
      </w:r>
      <w:r w:rsidR="00FE7985">
        <w:t xml:space="preserve"> the relative </w:t>
      </w:r>
      <w:r w:rsidR="00DC01ED">
        <w:t>weigh</w:t>
      </w:r>
      <w:r w:rsidR="001E36C1">
        <w:t>t</w:t>
      </w:r>
      <w:r w:rsidR="00DC01ED">
        <w:t>s and stiffnesses of</w:t>
      </w:r>
      <w:r w:rsidR="001E36C1">
        <w:t xml:space="preserve"> each </w:t>
      </w:r>
      <w:r w:rsidR="00D65DEC">
        <w:t xml:space="preserve">material. </w:t>
      </w:r>
      <w:r w:rsidR="00DC01ED">
        <w:t xml:space="preserve"> </w:t>
      </w:r>
    </w:p>
    <w:p w14:paraId="04FE99BB" w14:textId="7B0DB347" w:rsidR="00016B6A" w:rsidRDefault="00016B6A" w:rsidP="00384DC2">
      <w:pPr>
        <w:pStyle w:val="ListParagraph"/>
        <w:numPr>
          <w:ilvl w:val="1"/>
          <w:numId w:val="5"/>
        </w:numPr>
        <w:spacing w:line="360" w:lineRule="auto"/>
      </w:pPr>
      <w:r>
        <w:t xml:space="preserve">Once </w:t>
      </w:r>
      <w:r w:rsidR="003601AC">
        <w:t xml:space="preserve">the </w:t>
      </w:r>
      <w:r w:rsidR="005B4F92">
        <w:t>prototypes were</w:t>
      </w:r>
      <w:r w:rsidR="003601AC">
        <w:t xml:space="preserve"> complete, </w:t>
      </w:r>
      <w:r w:rsidR="002914EC">
        <w:t>a side-by-side comparison showed</w:t>
      </w:r>
      <w:r w:rsidR="00BE559E">
        <w:t xml:space="preserve"> </w:t>
      </w:r>
      <w:r w:rsidR="00EF4E68">
        <w:t>important distin</w:t>
      </w:r>
      <w:r w:rsidR="00BE559E">
        <w:t>c</w:t>
      </w:r>
      <w:r w:rsidR="00EF4E68">
        <w:t>tions</w:t>
      </w:r>
      <w:r w:rsidR="002914EC">
        <w:t>.</w:t>
      </w:r>
      <w:r w:rsidR="00BE559E">
        <w:t xml:space="preserve"> </w:t>
      </w:r>
    </w:p>
    <w:p w14:paraId="4D5633B8" w14:textId="4A0332CC" w:rsidR="00196F41" w:rsidRPr="00DB2A08" w:rsidRDefault="00196F41" w:rsidP="00384DC2">
      <w:pPr>
        <w:pStyle w:val="ListParagraph"/>
        <w:numPr>
          <w:ilvl w:val="0"/>
          <w:numId w:val="5"/>
        </w:numPr>
        <w:spacing w:line="360" w:lineRule="auto"/>
        <w:rPr>
          <w:b/>
          <w:bCs/>
          <w:i/>
          <w:iCs/>
        </w:rPr>
      </w:pPr>
      <w:r w:rsidRPr="00384DC2">
        <w:rPr>
          <w:b/>
          <w:bCs/>
        </w:rPr>
        <w:t xml:space="preserve">Compound Adjectives </w:t>
      </w:r>
      <w:r w:rsidR="00384DC2" w:rsidRPr="00DB2A08">
        <w:rPr>
          <w:b/>
          <w:bCs/>
          <w:i/>
          <w:iCs/>
        </w:rPr>
        <w:t>(</w:t>
      </w:r>
      <w:r w:rsidR="00BB32DE" w:rsidRPr="00DB2A08">
        <w:rPr>
          <w:b/>
          <w:bCs/>
          <w:i/>
          <w:iCs/>
        </w:rPr>
        <w:t>circle</w:t>
      </w:r>
      <w:r w:rsidR="007757C4">
        <w:rPr>
          <w:b/>
          <w:bCs/>
          <w:i/>
          <w:iCs/>
        </w:rPr>
        <w:t xml:space="preserve"> or highlight</w:t>
      </w:r>
      <w:r w:rsidR="00BB32DE" w:rsidRPr="00DB2A08">
        <w:rPr>
          <w:b/>
          <w:bCs/>
          <w:i/>
          <w:iCs/>
        </w:rPr>
        <w:t xml:space="preserve"> the compound adjectives that should be connected by a hyphen)</w:t>
      </w:r>
    </w:p>
    <w:p w14:paraId="5BD697CB" w14:textId="78E78D6D" w:rsidR="002009F2" w:rsidRDefault="002009F2" w:rsidP="00384DC2">
      <w:pPr>
        <w:pStyle w:val="ListParagraph"/>
        <w:numPr>
          <w:ilvl w:val="1"/>
          <w:numId w:val="5"/>
        </w:numPr>
        <w:spacing w:line="360" w:lineRule="auto"/>
      </w:pPr>
      <w:r>
        <w:t>A four bar mechanism has 1 degree of freedom.</w:t>
      </w:r>
    </w:p>
    <w:p w14:paraId="193F1EA8" w14:textId="4AC1DFB4" w:rsidR="000852F7" w:rsidRDefault="003E3AA2" w:rsidP="00384DC2">
      <w:pPr>
        <w:pStyle w:val="ListParagraph"/>
        <w:numPr>
          <w:ilvl w:val="1"/>
          <w:numId w:val="5"/>
        </w:numPr>
        <w:spacing w:line="360" w:lineRule="auto"/>
      </w:pPr>
      <w:r>
        <w:t>A five bar mechanism is a 2</w:t>
      </w:r>
      <w:r w:rsidR="00F335C7">
        <w:t xml:space="preserve"> degree of freedom mechanism.</w:t>
      </w:r>
    </w:p>
    <w:p w14:paraId="11A0F52E" w14:textId="0C61A68D" w:rsidR="00BA7A24" w:rsidRDefault="008F166E" w:rsidP="00384DC2">
      <w:pPr>
        <w:pStyle w:val="ListParagraph"/>
        <w:numPr>
          <w:ilvl w:val="1"/>
          <w:numId w:val="5"/>
        </w:numPr>
        <w:spacing w:line="360" w:lineRule="auto"/>
      </w:pPr>
      <w:r>
        <w:t>A computer aided design (CAD)</w:t>
      </w:r>
      <w:r w:rsidR="007002CC">
        <w:t xml:space="preserve"> model </w:t>
      </w:r>
      <w:r w:rsidR="007B3F79">
        <w:t>and a proof of concept wood mockup were produced to validate the adequacy of the 2 DOF</w:t>
      </w:r>
      <w:r w:rsidR="008809B2">
        <w:t xml:space="preserve"> mobility enabled.</w:t>
      </w:r>
    </w:p>
    <w:p w14:paraId="20C8B3F0" w14:textId="375A4AA7" w:rsidR="0082565E" w:rsidRDefault="00F92E60" w:rsidP="00384DC2">
      <w:pPr>
        <w:pStyle w:val="ListParagraph"/>
        <w:numPr>
          <w:ilvl w:val="1"/>
          <w:numId w:val="5"/>
        </w:numPr>
        <w:spacing w:line="360" w:lineRule="auto"/>
      </w:pPr>
      <w:r w:rsidRPr="00F92E60">
        <w:t>In the figure, the 30</w:t>
      </w:r>
      <w:r w:rsidR="009C355A">
        <w:t xml:space="preserve"> </w:t>
      </w:r>
      <w:r w:rsidRPr="00F92E60">
        <w:t>degree arclength on the left has been superimposed on the 30</w:t>
      </w:r>
      <w:r w:rsidR="009C355A">
        <w:t xml:space="preserve"> </w:t>
      </w:r>
      <w:r w:rsidRPr="00F92E60">
        <w:t>degree arclength on the right to showcase the small amount of glenohumeral misalignment that would result from using a single</w:t>
      </w:r>
      <w:r w:rsidR="009C355A">
        <w:t xml:space="preserve"> </w:t>
      </w:r>
      <w:r w:rsidRPr="00F92E60">
        <w:t>length clavicle design.</w:t>
      </w:r>
    </w:p>
    <w:p w14:paraId="63FF3D8D" w14:textId="37100931" w:rsidR="00196F41" w:rsidRPr="0047202C" w:rsidRDefault="003A7F55" w:rsidP="00384DC2">
      <w:pPr>
        <w:pStyle w:val="ListParagraph"/>
        <w:numPr>
          <w:ilvl w:val="0"/>
          <w:numId w:val="5"/>
        </w:numPr>
        <w:spacing w:line="360" w:lineRule="auto"/>
        <w:rPr>
          <w:b/>
          <w:bCs/>
        </w:rPr>
      </w:pPr>
      <w:r w:rsidRPr="0047202C">
        <w:rPr>
          <w:b/>
          <w:bCs/>
        </w:rPr>
        <w:t>Identifying Imprecise,</w:t>
      </w:r>
      <w:r w:rsidR="00DB5B9F">
        <w:rPr>
          <w:b/>
          <w:bCs/>
        </w:rPr>
        <w:t xml:space="preserve"> Informal,</w:t>
      </w:r>
      <w:r w:rsidRPr="0047202C">
        <w:rPr>
          <w:b/>
          <w:bCs/>
        </w:rPr>
        <w:t xml:space="preserve"> </w:t>
      </w:r>
      <w:r w:rsidR="00DB5B9F">
        <w:rPr>
          <w:b/>
          <w:bCs/>
        </w:rPr>
        <w:t>and otherwise</w:t>
      </w:r>
      <w:r w:rsidRPr="0047202C">
        <w:rPr>
          <w:b/>
          <w:bCs/>
        </w:rPr>
        <w:t xml:space="preserve"> unneeded </w:t>
      </w:r>
      <w:r w:rsidR="00196F41" w:rsidRPr="0047202C">
        <w:rPr>
          <w:b/>
          <w:bCs/>
        </w:rPr>
        <w:t>“Filler” words</w:t>
      </w:r>
      <w:r w:rsidR="0010599E" w:rsidRPr="0047202C">
        <w:rPr>
          <w:b/>
          <w:bCs/>
        </w:rPr>
        <w:t>/phrases</w:t>
      </w:r>
      <w:r w:rsidR="00DB2A08" w:rsidRPr="0047202C">
        <w:rPr>
          <w:b/>
          <w:bCs/>
        </w:rPr>
        <w:t xml:space="preserve"> </w:t>
      </w:r>
      <w:r w:rsidR="00DB2A08" w:rsidRPr="0047202C">
        <w:rPr>
          <w:b/>
          <w:bCs/>
          <w:i/>
          <w:iCs/>
        </w:rPr>
        <w:t>(circle</w:t>
      </w:r>
      <w:r w:rsidR="007757C4">
        <w:rPr>
          <w:b/>
          <w:bCs/>
          <w:i/>
          <w:iCs/>
        </w:rPr>
        <w:t xml:space="preserve"> or highlight</w:t>
      </w:r>
      <w:r w:rsidR="00DB2A08" w:rsidRPr="0047202C">
        <w:rPr>
          <w:b/>
          <w:bCs/>
          <w:i/>
          <w:iCs/>
        </w:rPr>
        <w:t xml:space="preserve"> a</w:t>
      </w:r>
      <w:r w:rsidR="0010599E" w:rsidRPr="0047202C">
        <w:rPr>
          <w:b/>
          <w:bCs/>
          <w:i/>
          <w:iCs/>
        </w:rPr>
        <w:t>ll</w:t>
      </w:r>
      <w:r w:rsidR="00DB2A08" w:rsidRPr="0047202C">
        <w:rPr>
          <w:b/>
          <w:bCs/>
          <w:i/>
          <w:iCs/>
        </w:rPr>
        <w:t>)</w:t>
      </w:r>
    </w:p>
    <w:p w14:paraId="4B6C5B2C" w14:textId="21DF1FA1" w:rsidR="00264F54" w:rsidRDefault="00264F54" w:rsidP="00384DC2">
      <w:pPr>
        <w:pStyle w:val="ListParagraph"/>
        <w:numPr>
          <w:ilvl w:val="1"/>
          <w:numId w:val="5"/>
        </w:numPr>
        <w:spacing w:line="360" w:lineRule="auto"/>
      </w:pPr>
      <w:r w:rsidRPr="00196F41">
        <w:t xml:space="preserve">To assess just how much mobility is needed </w:t>
      </w:r>
      <w:r w:rsidR="003A7F55">
        <w:t xml:space="preserve">in order </w:t>
      </w:r>
      <w:r w:rsidRPr="00196F41">
        <w:t>to accommodate a healthy shoulder girdle, an ac</w:t>
      </w:r>
      <w:r>
        <w:t xml:space="preserve">tivities-of-daily-living </w:t>
      </w:r>
      <w:r w:rsidRPr="00196F41">
        <w:t xml:space="preserve">database </w:t>
      </w:r>
      <w:r w:rsidR="003A7F55">
        <w:t xml:space="preserve">was </w:t>
      </w:r>
      <w:r w:rsidRPr="00196F41">
        <w:t xml:space="preserve">used to estimate the translation of the </w:t>
      </w:r>
      <w:r>
        <w:t>glenohumeral</w:t>
      </w:r>
      <w:r w:rsidRPr="00196F41">
        <w:t xml:space="preserve"> joint during a variety of daily tas</w:t>
      </w:r>
      <w:r>
        <w:t>ks.</w:t>
      </w:r>
    </w:p>
    <w:p w14:paraId="56F55BB3" w14:textId="1640D458" w:rsidR="003A7F55" w:rsidRDefault="003A7F55" w:rsidP="00384DC2">
      <w:pPr>
        <w:pStyle w:val="ListParagraph"/>
        <w:numPr>
          <w:ilvl w:val="1"/>
          <w:numId w:val="5"/>
        </w:numPr>
        <w:spacing w:line="360" w:lineRule="auto"/>
      </w:pPr>
      <w:r>
        <w:t>The requirements at the shoulder depend to a certain degree on the population of interest and their impairment characteristics.</w:t>
      </w:r>
    </w:p>
    <w:p w14:paraId="619CE475" w14:textId="76D5369B" w:rsidR="007B3446" w:rsidRDefault="007B3446" w:rsidP="007B3446">
      <w:pPr>
        <w:pStyle w:val="ListParagraph"/>
        <w:numPr>
          <w:ilvl w:val="1"/>
          <w:numId w:val="5"/>
        </w:numPr>
        <w:spacing w:line="360" w:lineRule="auto"/>
      </w:pPr>
      <w:r w:rsidRPr="007B3446">
        <w:rPr>
          <w:rFonts w:cs="Arial"/>
          <w:shd w:val="clear" w:color="auto" w:fill="FFFFFF"/>
        </w:rPr>
        <w:t>It is very difficult for a human to reproduce the exact same movement over and over again without any variation.</w:t>
      </w:r>
    </w:p>
    <w:p w14:paraId="4F9E61F9" w14:textId="4232126E" w:rsidR="001145B3" w:rsidRDefault="008C7D77" w:rsidP="00384DC2">
      <w:pPr>
        <w:pStyle w:val="ListParagraph"/>
        <w:numPr>
          <w:ilvl w:val="1"/>
          <w:numId w:val="5"/>
        </w:numPr>
        <w:spacing w:line="360" w:lineRule="auto"/>
      </w:pPr>
      <w:r>
        <w:t>Rewrite 6.</w:t>
      </w:r>
      <w:r w:rsidR="001145B3" w:rsidRPr="001145B3">
        <w:t xml:space="preserve"> </w:t>
      </w:r>
      <w:r w:rsidR="001145B3">
        <w:t xml:space="preserve">1 in a more concise form without the use of </w:t>
      </w:r>
      <w:r w:rsidR="00384DC2">
        <w:t>“filler” words</w:t>
      </w:r>
      <w:r w:rsidR="001145B3">
        <w:t>:</w:t>
      </w:r>
    </w:p>
    <w:p w14:paraId="0A217F94" w14:textId="77777777" w:rsidR="001145B3" w:rsidRDefault="001145B3" w:rsidP="00384DC2">
      <w:pPr>
        <w:pStyle w:val="ListParagraph"/>
        <w:spacing w:line="360" w:lineRule="auto"/>
        <w:ind w:left="792"/>
      </w:pPr>
      <w:r>
        <w:t>____________________________________________________________________________________________________________________________________________________________</w:t>
      </w:r>
    </w:p>
    <w:p w14:paraId="34D20EF2" w14:textId="77777777" w:rsidR="00E31B76" w:rsidRDefault="001145B3" w:rsidP="00384DC2">
      <w:pPr>
        <w:pStyle w:val="ListParagraph"/>
        <w:spacing w:line="360" w:lineRule="auto"/>
        <w:ind w:left="792"/>
      </w:pPr>
      <w:r>
        <w:t>______________________________________________________________________________</w:t>
      </w:r>
    </w:p>
    <w:p w14:paraId="76CE112E" w14:textId="2F6F5370" w:rsidR="00E31B76" w:rsidRDefault="00E31B76" w:rsidP="00E31B76">
      <w:pPr>
        <w:pStyle w:val="ListParagraph"/>
        <w:numPr>
          <w:ilvl w:val="1"/>
          <w:numId w:val="5"/>
        </w:numPr>
        <w:spacing w:line="360" w:lineRule="auto"/>
      </w:pPr>
      <w:r>
        <w:t>Rewrite 6.</w:t>
      </w:r>
      <w:r w:rsidRPr="001145B3">
        <w:t xml:space="preserve"> </w:t>
      </w:r>
      <w:r>
        <w:t xml:space="preserve">3 in a more </w:t>
      </w:r>
      <w:r w:rsidR="00214973">
        <w:t>clear</w:t>
      </w:r>
      <w:r w:rsidR="0094137F">
        <w:t xml:space="preserve"> and concise</w:t>
      </w:r>
      <w:r>
        <w:t xml:space="preserve"> form without the use of </w:t>
      </w:r>
      <w:r w:rsidR="0094137F">
        <w:t xml:space="preserve">“filler” </w:t>
      </w:r>
      <w:r>
        <w:t>words:</w:t>
      </w:r>
    </w:p>
    <w:p w14:paraId="04321500" w14:textId="31B7D4C1" w:rsidR="00A804CE" w:rsidRDefault="00E31B76" w:rsidP="002914EC">
      <w:pPr>
        <w:pStyle w:val="ListParagraph"/>
        <w:spacing w:line="360" w:lineRule="auto"/>
        <w:ind w:left="792"/>
      </w:pPr>
      <w:r>
        <w:t>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A80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27A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426C01"/>
    <w:multiLevelType w:val="multilevel"/>
    <w:tmpl w:val="ED36E1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F2D0385"/>
    <w:multiLevelType w:val="multilevel"/>
    <w:tmpl w:val="9468F1A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62282A"/>
    <w:multiLevelType w:val="hybridMultilevel"/>
    <w:tmpl w:val="2F5C6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20F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35"/>
    <w:rsid w:val="00016B6A"/>
    <w:rsid w:val="00023E23"/>
    <w:rsid w:val="000501A4"/>
    <w:rsid w:val="00063A01"/>
    <w:rsid w:val="000852F7"/>
    <w:rsid w:val="000B284D"/>
    <w:rsid w:val="000B3941"/>
    <w:rsid w:val="000F3EE3"/>
    <w:rsid w:val="0010599E"/>
    <w:rsid w:val="001145B3"/>
    <w:rsid w:val="00114D1F"/>
    <w:rsid w:val="001269B7"/>
    <w:rsid w:val="00142192"/>
    <w:rsid w:val="00160687"/>
    <w:rsid w:val="0016269F"/>
    <w:rsid w:val="00195887"/>
    <w:rsid w:val="00196F41"/>
    <w:rsid w:val="001E36C1"/>
    <w:rsid w:val="002009F2"/>
    <w:rsid w:val="00214973"/>
    <w:rsid w:val="00214C99"/>
    <w:rsid w:val="00237D1D"/>
    <w:rsid w:val="00250F70"/>
    <w:rsid w:val="00254D7B"/>
    <w:rsid w:val="00264F54"/>
    <w:rsid w:val="00282180"/>
    <w:rsid w:val="002914EC"/>
    <w:rsid w:val="002A007D"/>
    <w:rsid w:val="002A4EB5"/>
    <w:rsid w:val="002C4671"/>
    <w:rsid w:val="003104EB"/>
    <w:rsid w:val="00311428"/>
    <w:rsid w:val="0035206C"/>
    <w:rsid w:val="00357A58"/>
    <w:rsid w:val="003601AC"/>
    <w:rsid w:val="00384DC2"/>
    <w:rsid w:val="003A640C"/>
    <w:rsid w:val="003A7F55"/>
    <w:rsid w:val="003B6B35"/>
    <w:rsid w:val="003D1A16"/>
    <w:rsid w:val="003E0077"/>
    <w:rsid w:val="003E1FA0"/>
    <w:rsid w:val="003E3AA2"/>
    <w:rsid w:val="003F02A6"/>
    <w:rsid w:val="00407A02"/>
    <w:rsid w:val="004154F2"/>
    <w:rsid w:val="004234E2"/>
    <w:rsid w:val="004430E4"/>
    <w:rsid w:val="00453D24"/>
    <w:rsid w:val="00460003"/>
    <w:rsid w:val="0047202C"/>
    <w:rsid w:val="0047495D"/>
    <w:rsid w:val="004F596D"/>
    <w:rsid w:val="00513456"/>
    <w:rsid w:val="005558BD"/>
    <w:rsid w:val="00572A7F"/>
    <w:rsid w:val="00586820"/>
    <w:rsid w:val="005959BF"/>
    <w:rsid w:val="005B3F6D"/>
    <w:rsid w:val="005B4F92"/>
    <w:rsid w:val="005D4559"/>
    <w:rsid w:val="005D719E"/>
    <w:rsid w:val="005E7875"/>
    <w:rsid w:val="005F6A70"/>
    <w:rsid w:val="0060364C"/>
    <w:rsid w:val="006048A4"/>
    <w:rsid w:val="006104ED"/>
    <w:rsid w:val="0062451B"/>
    <w:rsid w:val="006258A5"/>
    <w:rsid w:val="006D7DE5"/>
    <w:rsid w:val="006F65D8"/>
    <w:rsid w:val="007002CC"/>
    <w:rsid w:val="00710DB0"/>
    <w:rsid w:val="00715759"/>
    <w:rsid w:val="007231BF"/>
    <w:rsid w:val="007757C4"/>
    <w:rsid w:val="007866E6"/>
    <w:rsid w:val="00787D12"/>
    <w:rsid w:val="00793B6C"/>
    <w:rsid w:val="007A67ED"/>
    <w:rsid w:val="007B2FDC"/>
    <w:rsid w:val="007B3446"/>
    <w:rsid w:val="007B3F79"/>
    <w:rsid w:val="007D00E8"/>
    <w:rsid w:val="007D7525"/>
    <w:rsid w:val="007E4A81"/>
    <w:rsid w:val="007E5DC7"/>
    <w:rsid w:val="00800CE1"/>
    <w:rsid w:val="008161DE"/>
    <w:rsid w:val="00820AFB"/>
    <w:rsid w:val="0082565E"/>
    <w:rsid w:val="00841B0A"/>
    <w:rsid w:val="00842F3D"/>
    <w:rsid w:val="00851255"/>
    <w:rsid w:val="0087479E"/>
    <w:rsid w:val="008809B2"/>
    <w:rsid w:val="008853FC"/>
    <w:rsid w:val="00885AD1"/>
    <w:rsid w:val="00890BDC"/>
    <w:rsid w:val="008A5BA4"/>
    <w:rsid w:val="008C7D77"/>
    <w:rsid w:val="008D1417"/>
    <w:rsid w:val="008D2ED0"/>
    <w:rsid w:val="008F166E"/>
    <w:rsid w:val="009019C6"/>
    <w:rsid w:val="00913E54"/>
    <w:rsid w:val="00940922"/>
    <w:rsid w:val="0094137F"/>
    <w:rsid w:val="009507A0"/>
    <w:rsid w:val="00966E89"/>
    <w:rsid w:val="00970868"/>
    <w:rsid w:val="0098128D"/>
    <w:rsid w:val="009814A4"/>
    <w:rsid w:val="009B21D7"/>
    <w:rsid w:val="009B5AA3"/>
    <w:rsid w:val="009C355A"/>
    <w:rsid w:val="009C410B"/>
    <w:rsid w:val="00A0648E"/>
    <w:rsid w:val="00A804CE"/>
    <w:rsid w:val="00AA1BB7"/>
    <w:rsid w:val="00B05BB2"/>
    <w:rsid w:val="00B21A80"/>
    <w:rsid w:val="00B40D99"/>
    <w:rsid w:val="00B552D3"/>
    <w:rsid w:val="00B61A17"/>
    <w:rsid w:val="00B81E00"/>
    <w:rsid w:val="00BA7A24"/>
    <w:rsid w:val="00BB1751"/>
    <w:rsid w:val="00BB32DE"/>
    <w:rsid w:val="00BB4198"/>
    <w:rsid w:val="00BB5A47"/>
    <w:rsid w:val="00BE377C"/>
    <w:rsid w:val="00BE559E"/>
    <w:rsid w:val="00C14F39"/>
    <w:rsid w:val="00C26CB1"/>
    <w:rsid w:val="00C3495E"/>
    <w:rsid w:val="00C7580C"/>
    <w:rsid w:val="00C84903"/>
    <w:rsid w:val="00C90D80"/>
    <w:rsid w:val="00CB3D8C"/>
    <w:rsid w:val="00CE1CA5"/>
    <w:rsid w:val="00CF5D71"/>
    <w:rsid w:val="00D12DF7"/>
    <w:rsid w:val="00D2582F"/>
    <w:rsid w:val="00D62E60"/>
    <w:rsid w:val="00D65DEC"/>
    <w:rsid w:val="00DB1558"/>
    <w:rsid w:val="00DB2A08"/>
    <w:rsid w:val="00DB5B9F"/>
    <w:rsid w:val="00DC01ED"/>
    <w:rsid w:val="00DD03C1"/>
    <w:rsid w:val="00DF58F0"/>
    <w:rsid w:val="00E31B76"/>
    <w:rsid w:val="00E36AB3"/>
    <w:rsid w:val="00E37A82"/>
    <w:rsid w:val="00E6753D"/>
    <w:rsid w:val="00EE619C"/>
    <w:rsid w:val="00EF4E68"/>
    <w:rsid w:val="00EF70A3"/>
    <w:rsid w:val="00F068C4"/>
    <w:rsid w:val="00F178BA"/>
    <w:rsid w:val="00F335C7"/>
    <w:rsid w:val="00F43C9F"/>
    <w:rsid w:val="00F56352"/>
    <w:rsid w:val="00F66674"/>
    <w:rsid w:val="00F676A8"/>
    <w:rsid w:val="00F91DC4"/>
    <w:rsid w:val="00F92E60"/>
    <w:rsid w:val="00FA4DD0"/>
    <w:rsid w:val="00FD032A"/>
    <w:rsid w:val="00FE7985"/>
    <w:rsid w:val="4FC8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A4768"/>
  <w15:chartTrackingRefBased/>
  <w15:docId w15:val="{8C857A11-8201-44A9-93DA-937849B4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A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F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58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AD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85A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85A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6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96F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Reference">
    <w:name w:val="Subtle Reference"/>
    <w:uiPriority w:val="31"/>
    <w:qFormat/>
    <w:rsid w:val="00196F41"/>
    <w:rPr>
      <w:rFonts w:ascii="Arial" w:hAnsi="Arial" w:cs="Arial"/>
      <w:color w:val="222222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rsid w:val="006258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997C9CBA12C4B8A82EC9A75286466" ma:contentTypeVersion="36" ma:contentTypeDescription="Create a new document." ma:contentTypeScope="" ma:versionID="db475be1be4561f9066ecdf8bcb9b966">
  <xsd:schema xmlns:xsd="http://www.w3.org/2001/XMLSchema" xmlns:xs="http://www.w3.org/2001/XMLSchema" xmlns:p="http://schemas.microsoft.com/office/2006/metadata/properties" xmlns:ns3="ac26e26d-d936-4e41-9470-ace3865ffd7b" xmlns:ns4="8f979860-f135-4b2e-b83c-d29d3e27d8bb" targetNamespace="http://schemas.microsoft.com/office/2006/metadata/properties" ma:root="true" ma:fieldsID="3ef272cf6b9b12d6b258297f32c09680" ns3:_="" ns4:_="">
    <xsd:import namespace="ac26e26d-d936-4e41-9470-ace3865ffd7b"/>
    <xsd:import namespace="8f979860-f135-4b2e-b83c-d29d3e27d8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6e26d-d936-4e41-9470-ace3865ffd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  <xsd:element name="MediaServiceObjectDetectorVersions" ma:index="4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79860-f135-4b2e-b83c-d29d3e27d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ac26e26d-d936-4e41-9470-ace3865ffd7b" xsi:nil="true"/>
    <Invited_Students xmlns="ac26e26d-d936-4e41-9470-ace3865ffd7b" xsi:nil="true"/>
    <CultureName xmlns="ac26e26d-d936-4e41-9470-ace3865ffd7b" xsi:nil="true"/>
    <Students xmlns="ac26e26d-d936-4e41-9470-ace3865ffd7b">
      <UserInfo>
        <DisplayName/>
        <AccountId xsi:nil="true"/>
        <AccountType/>
      </UserInfo>
    </Students>
    <Student_Groups xmlns="ac26e26d-d936-4e41-9470-ace3865ffd7b">
      <UserInfo>
        <DisplayName/>
        <AccountId xsi:nil="true"/>
        <AccountType/>
      </UserInfo>
    </Student_Groups>
    <DefaultSectionNames xmlns="ac26e26d-d936-4e41-9470-ace3865ffd7b" xsi:nil="true"/>
    <Is_Collaboration_Space_Locked xmlns="ac26e26d-d936-4e41-9470-ace3865ffd7b" xsi:nil="true"/>
    <Math_Settings xmlns="ac26e26d-d936-4e41-9470-ace3865ffd7b" xsi:nil="true"/>
    <Has_Teacher_Only_SectionGroup xmlns="ac26e26d-d936-4e41-9470-ace3865ffd7b" xsi:nil="true"/>
    <Templates xmlns="ac26e26d-d936-4e41-9470-ace3865ffd7b" xsi:nil="true"/>
    <Self_Registration_Enabled xmlns="ac26e26d-d936-4e41-9470-ace3865ffd7b" xsi:nil="true"/>
    <FolderType xmlns="ac26e26d-d936-4e41-9470-ace3865ffd7b" xsi:nil="true"/>
    <Distribution_Groups xmlns="ac26e26d-d936-4e41-9470-ace3865ffd7b" xsi:nil="true"/>
    <AppVersion xmlns="ac26e26d-d936-4e41-9470-ace3865ffd7b" xsi:nil="true"/>
    <TeamsChannelId xmlns="ac26e26d-d936-4e41-9470-ace3865ffd7b" xsi:nil="true"/>
    <_activity xmlns="ac26e26d-d936-4e41-9470-ace3865ffd7b" xsi:nil="true"/>
    <NotebookType xmlns="ac26e26d-d936-4e41-9470-ace3865ffd7b" xsi:nil="true"/>
    <Teachers xmlns="ac26e26d-d936-4e41-9470-ace3865ffd7b">
      <UserInfo>
        <DisplayName/>
        <AccountId xsi:nil="true"/>
        <AccountType/>
      </UserInfo>
    </Teachers>
    <Invited_Teachers xmlns="ac26e26d-d936-4e41-9470-ace3865ffd7b" xsi:nil="true"/>
    <IsNotebookLocked xmlns="ac26e26d-d936-4e41-9470-ace3865ffd7b" xsi:nil="true"/>
    <Owner xmlns="ac26e26d-d936-4e41-9470-ace3865ffd7b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C059743A-7C86-4426-A5F6-450FCCD53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6e26d-d936-4e41-9470-ace3865ffd7b"/>
    <ds:schemaRef ds:uri="8f979860-f135-4b2e-b83c-d29d3e27d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76197C-100E-4642-B108-E6C5183861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705F8-A2B8-4A46-A40B-489531F0C99F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f979860-f135-4b2e-b83c-d29d3e27d8bb"/>
    <ds:schemaRef ds:uri="http://purl.org/dc/terms/"/>
    <ds:schemaRef ds:uri="ac26e26d-d936-4e41-9470-ace3865ffd7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Joel (jperry@uidaho.edu)</dc:creator>
  <cp:keywords/>
  <dc:description/>
  <cp:lastModifiedBy>Perry, Joel (jperry@uidaho.edu)</cp:lastModifiedBy>
  <cp:revision>2</cp:revision>
  <cp:lastPrinted>2020-03-13T16:22:00Z</cp:lastPrinted>
  <dcterms:created xsi:type="dcterms:W3CDTF">2023-09-02T01:20:00Z</dcterms:created>
  <dcterms:modified xsi:type="dcterms:W3CDTF">2023-09-02T01:20:00Z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0x010100AB5997C9CBA12C4B8A82EC9A75286466</vt:lpwstr>
  </property>
</Properties>
</file>